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Спори з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державним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реєстратором</w:t>
      </w:r>
      <w:proofErr w:type="spellEnd"/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4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вересня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2018 року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 w:bidi="he-IL"/>
        </w:rPr>
        <w:t xml:space="preserve">м.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 w:bidi="he-IL"/>
        </w:rPr>
        <w:t>Київ</w:t>
      </w:r>
      <w:proofErr w:type="spellEnd"/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ru-RU" w:bidi="he-IL"/>
        </w:rPr>
        <w:t>Справа № 823/2042</w:t>
      </w:r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/16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за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позовом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Приватного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підприємства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«Колос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Чигиринщини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» до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Чигиринської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районної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державної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адміністрації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Черкаської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області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треті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особи –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Притула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Ганна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Мусіївна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Товариство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з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обмеженою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відповідальністю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сільськогосподарське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підприємство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«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Нібулон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», про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визнання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протиправним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та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скасування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рішення</w:t>
      </w:r>
      <w:proofErr w:type="spellEnd"/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Спір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стосовно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формування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переліку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вкладників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які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мають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право на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гарантоване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державою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відшкодування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коштів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за вкладами за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рахунок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Фонду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гарантування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вкладів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фізичних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осіб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та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затвердження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реєстру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вкладників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для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здійснення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гар</w:t>
      </w:r>
      <w:bookmarkStart w:id="0" w:name="_GoBack"/>
      <w:bookmarkEnd w:id="0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антованих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виплат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а так само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спір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про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стягнення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з Фонду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відшкодування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за вкладом </w:t>
      </w: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відноситься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до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юрисдикції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адміністративних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судів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Правову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позицію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викладено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у постановах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Великої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Палати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Верховного Суду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13 лютого 2019 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 </w:t>
      </w:r>
      <w:r w:rsidRPr="006E0BDE">
        <w:rPr>
          <w:rFonts w:ascii="Arial" w:eastAsia="Times New Roman" w:hAnsi="Arial" w:cs="Arial"/>
          <w:color w:val="222222"/>
          <w:sz w:val="24"/>
          <w:szCs w:val="24"/>
          <w:u w:val="single"/>
          <w:lang w:eastAsia="ru-RU" w:bidi="he-IL"/>
        </w:rPr>
        <w:t>804/758/16</w:t>
      </w: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(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провадження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 11-1105апп18) ― </w:t>
      </w:r>
      <w:hyperlink r:id="rId4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http://www.reyestr.court.gov.ua/Review/80633770</w:t>
        </w:r>
      </w:hyperlink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  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13 лютого 2019 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 </w:t>
      </w:r>
      <w:r w:rsidRPr="006E0BDE">
        <w:rPr>
          <w:rFonts w:ascii="Arial" w:eastAsia="Times New Roman" w:hAnsi="Arial" w:cs="Arial"/>
          <w:color w:val="222222"/>
          <w:sz w:val="24"/>
          <w:szCs w:val="24"/>
          <w:u w:val="single"/>
          <w:lang w:eastAsia="ru-RU" w:bidi="he-IL"/>
        </w:rPr>
        <w:t>826/19414</w:t>
      </w: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/16 (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провадження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 11-1381апп18) ― http://  </w:t>
      </w:r>
      <w:hyperlink r:id="rId5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www.reyestr.court.gov.ua/Review/80633777</w:t>
        </w:r>
      </w:hyperlink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13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березня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2019 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 </w:t>
      </w:r>
      <w:r w:rsidRPr="006E0BDE">
        <w:rPr>
          <w:rFonts w:ascii="Arial" w:eastAsia="Times New Roman" w:hAnsi="Arial" w:cs="Arial"/>
          <w:color w:val="222222"/>
          <w:sz w:val="24"/>
          <w:szCs w:val="24"/>
          <w:u w:val="single"/>
          <w:lang w:eastAsia="ru-RU" w:bidi="he-IL"/>
        </w:rPr>
        <w:t>818/104/16</w:t>
      </w: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(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провадження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 11-1305апп18) ― </w:t>
      </w:r>
      <w:hyperlink r:id="rId6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http://www.reyestr.court.gov.ua/Review/80555834</w:t>
        </w:r>
      </w:hyperlink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13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березня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2019 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 554/22/18 (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провадження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 14-81цс19) ― </w:t>
      </w:r>
      <w:hyperlink r:id="rId7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http://www.reyestr.court.gov.ua/Review/80555828</w:t>
        </w:r>
      </w:hyperlink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13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березня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2019 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 </w:t>
      </w:r>
      <w:r w:rsidRPr="006E0BDE">
        <w:rPr>
          <w:rFonts w:ascii="Arial" w:eastAsia="Times New Roman" w:hAnsi="Arial" w:cs="Arial"/>
          <w:color w:val="222222"/>
          <w:sz w:val="24"/>
          <w:szCs w:val="24"/>
          <w:u w:val="single"/>
          <w:lang w:eastAsia="ru-RU" w:bidi="he-IL"/>
        </w:rPr>
        <w:t>826/27356</w:t>
      </w: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/15 (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провадження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 11-1103апп18) ― </w:t>
      </w:r>
      <w:hyperlink r:id="rId8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http://www.reyestr.court.gov.ua/Review/80588414</w:t>
        </w:r>
      </w:hyperlink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Детальніше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із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текстом постанови Верховного Суду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27 лютого 2019 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№ </w:t>
      </w:r>
      <w:r w:rsidRPr="006E0BDE">
        <w:rPr>
          <w:rFonts w:ascii="Arial" w:eastAsia="Times New Roman" w:hAnsi="Arial" w:cs="Arial"/>
          <w:color w:val="222222"/>
          <w:sz w:val="24"/>
          <w:szCs w:val="24"/>
          <w:u w:val="single"/>
          <w:lang w:eastAsia="ru-RU" w:bidi="he-IL"/>
        </w:rPr>
        <w:t>161/11401</w:t>
      </w: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/17 (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провадження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 14-41цс19)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можна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ознайомитись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за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посиланням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- </w:t>
      </w:r>
      <w:hyperlink r:id="rId9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http://www.reyestr.court.gov.ua/Review/80522363</w:t>
        </w:r>
      </w:hyperlink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   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Спори,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які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виникають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під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час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здійснення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центральним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органом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виконавчої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влади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що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реалізує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державну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політику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у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сфері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казначейського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обслуговування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бюджетних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коштів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своїх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повноважень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щодо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виконання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судових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рішень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розглядаються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адміністративними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судами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Правова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позиція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викладена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постанові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Великої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Палати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Верховного Суду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27 лютого 2019 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 </w:t>
      </w:r>
      <w:r w:rsidRPr="006E0BDE">
        <w:rPr>
          <w:rFonts w:ascii="Arial" w:eastAsia="Times New Roman" w:hAnsi="Arial" w:cs="Arial"/>
          <w:color w:val="222222"/>
          <w:sz w:val="24"/>
          <w:szCs w:val="24"/>
          <w:u w:val="single"/>
          <w:lang w:eastAsia="ru-RU" w:bidi="he-IL"/>
        </w:rPr>
        <w:t>913/356/15</w:t>
      </w: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(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провадження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 12-5гс19) ― </w:t>
      </w:r>
      <w:hyperlink r:id="rId10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http://www.reyestr.court.gov.ua/Review/80364142</w:t>
        </w:r>
      </w:hyperlink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Детальніше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із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текстом постанови Верховного Суду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27 лютого 2019 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№ </w:t>
      </w:r>
      <w:r w:rsidRPr="006E0BDE">
        <w:rPr>
          <w:rFonts w:ascii="Arial" w:eastAsia="Times New Roman" w:hAnsi="Arial" w:cs="Arial"/>
          <w:color w:val="222222"/>
          <w:sz w:val="24"/>
          <w:szCs w:val="24"/>
          <w:u w:val="single"/>
          <w:lang w:eastAsia="ru-RU" w:bidi="he-IL"/>
        </w:rPr>
        <w:t>913/355/15</w:t>
      </w: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(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провадження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 12-6гс19)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можна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ознайомитись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за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посиланням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- </w:t>
      </w:r>
      <w:hyperlink r:id="rId11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http://www.reyestr.court.gov.ua/Review/80364162</w:t>
        </w:r>
      </w:hyperlink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Спір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про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визнання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незаконним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та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скасування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рішення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міської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ради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щодо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надання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дозволу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на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виготовлення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технічної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документації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із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землеустрою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прийняття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якого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призвело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до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виникнення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зміни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або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припинення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цивільних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прав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осіб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підлягають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розгляду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в порядку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цивільного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судочинства</w:t>
      </w:r>
      <w:proofErr w:type="spellEnd"/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lastRenderedPageBreak/>
        <w:t>Детальніше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із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текстом постанови Верховного Суду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13 лютого 2019 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№ 706/563/15-а (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провадження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 11-1218апп18)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можна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ознайомитися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за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посиланням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: </w:t>
      </w:r>
      <w:hyperlink r:id="rId12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http://reyestr.court.gov.ua/Review/80081035</w:t>
        </w:r>
      </w:hyperlink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Депутат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місцевої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ради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законодавчо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не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наділений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правом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здійснювати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представництво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інтересів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територіальної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громади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в судах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Детальніше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із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текстом Постанови Верховного Суду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6 лютого 2019 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№   </w:t>
      </w:r>
      <w:r w:rsidRPr="006E0BDE">
        <w:rPr>
          <w:rFonts w:ascii="Arial" w:eastAsia="Times New Roman" w:hAnsi="Arial" w:cs="Arial"/>
          <w:color w:val="222222"/>
          <w:sz w:val="24"/>
          <w:szCs w:val="24"/>
          <w:u w:val="single"/>
          <w:lang w:eastAsia="ru-RU" w:bidi="he-IL"/>
        </w:rPr>
        <w:t>803/413/18</w:t>
      </w: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 (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провадження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 11-1047апп18)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можна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ознайомитись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за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посиланням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- </w:t>
      </w:r>
      <w:hyperlink r:id="rId13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http://www.reyestr.court.gov.ua/Review/79958176</w:t>
        </w:r>
      </w:hyperlink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Спір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предметом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якого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є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оскарження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рішення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органу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державної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влади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чи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місцевого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самоврядування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про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надання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або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відмову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в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наданні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дозволу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на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розробку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проекту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землеустрою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щодо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відведення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земельної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ділянки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за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умови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відсутності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чинного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речового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права на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спірну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земельну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ділянку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належить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розглядати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в порядку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адміністративного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судочинства</w:t>
      </w:r>
      <w:proofErr w:type="spellEnd"/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Постанови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Великої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Палати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Верховного Суду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21 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березня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2018 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 536/233/16-ц (</w:t>
      </w:r>
      <w:hyperlink r:id="rId14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http://www.reyestr.court.gov.ua/Review/73565908</w:t>
        </w:r>
      </w:hyperlink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),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24 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квітня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2018 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 401/2400/16-ц (</w:t>
      </w:r>
      <w:hyperlink r:id="rId15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http://www.reyestr.court.gov.ua/Review/73657867</w:t>
        </w:r>
      </w:hyperlink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),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30 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травня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2018 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 </w:t>
      </w:r>
      <w:r w:rsidRPr="006E0BDE">
        <w:rPr>
          <w:rFonts w:ascii="Arial" w:eastAsia="Times New Roman" w:hAnsi="Arial" w:cs="Arial"/>
          <w:color w:val="222222"/>
          <w:sz w:val="24"/>
          <w:szCs w:val="24"/>
          <w:u w:val="single"/>
          <w:lang w:eastAsia="ru-RU" w:bidi="he-IL"/>
        </w:rPr>
        <w:t>826/5737/16</w:t>
      </w: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(</w:t>
      </w:r>
      <w:hyperlink r:id="rId16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http://www.reyestr.court.gov.ua/Review/74505993</w:t>
        </w:r>
      </w:hyperlink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),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19 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червня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2018 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 </w:t>
      </w:r>
      <w:r w:rsidRPr="006E0BDE">
        <w:rPr>
          <w:rFonts w:ascii="Arial" w:eastAsia="Times New Roman" w:hAnsi="Arial" w:cs="Arial"/>
          <w:color w:val="222222"/>
          <w:sz w:val="24"/>
          <w:szCs w:val="24"/>
          <w:u w:val="single"/>
          <w:lang w:eastAsia="ru-RU" w:bidi="he-IL"/>
        </w:rPr>
        <w:t>922/864/17</w:t>
      </w: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(</w:t>
      </w:r>
      <w:hyperlink r:id="rId17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http://www.reyestr.court.gov.ua/Review/75004258</w:t>
        </w:r>
      </w:hyperlink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).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Детальніше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з текстом Постанови Верховного Суду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13 лютого 2019 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 </w:t>
      </w:r>
      <w:r w:rsidRPr="006E0BDE">
        <w:rPr>
          <w:rFonts w:ascii="Arial" w:eastAsia="Times New Roman" w:hAnsi="Arial" w:cs="Arial"/>
          <w:color w:val="222222"/>
          <w:sz w:val="24"/>
          <w:szCs w:val="24"/>
          <w:u w:val="single"/>
          <w:lang w:eastAsia="ru-RU" w:bidi="he-IL"/>
        </w:rPr>
        <w:t>820/688/17</w:t>
      </w: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(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провадження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 11-1044апп18)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можна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ознайомитися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за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посиланням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– </w:t>
      </w:r>
      <w:hyperlink r:id="rId18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http://www.reyestr.court.gov.ua/Review/80224240</w:t>
        </w:r>
      </w:hyperlink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На спори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щодо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судового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оскарження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рішень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дій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чи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бездіяльності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державного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виконавця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чи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іншої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посадової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особи органу ДВС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або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приватного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виконавця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якими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порушено права,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свободи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чи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інтереси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позивача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під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час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виконання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зведеного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виконавчого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провадження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підлягає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розгляду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за правилами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адміністративного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судочинства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якщо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</w:t>
      </w:r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законом не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встановлено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інший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порядок судового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оскарження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рішень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,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дій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чи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бездіяльності</w:t>
      </w:r>
      <w:proofErr w:type="spellEnd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 xml:space="preserve"> таких </w:t>
      </w:r>
      <w:proofErr w:type="spellStart"/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осіб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 w:bidi="he-IL"/>
        </w:rPr>
        <w:t>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Постанова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Великої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Палати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Верховного Суду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14 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березня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2018 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 660/612/16-ц (</w:t>
      </w:r>
      <w:hyperlink r:id="rId19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http://www.reyestr.court.gov.ua/Review/73001394</w:t>
        </w:r>
      </w:hyperlink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).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</w:t>
      </w:r>
    </w:p>
    <w:p w:rsidR="006E0BDE" w:rsidRPr="006E0BDE" w:rsidRDefault="006E0BDE" w:rsidP="006E0B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</w:pP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Детальніше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з текстом Постанови Верховного Суду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від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13 лютого 2019 року у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справі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 </w:t>
      </w:r>
      <w:r w:rsidRPr="006E0BDE">
        <w:rPr>
          <w:rFonts w:ascii="Arial" w:eastAsia="Times New Roman" w:hAnsi="Arial" w:cs="Arial"/>
          <w:color w:val="222222"/>
          <w:sz w:val="24"/>
          <w:szCs w:val="24"/>
          <w:u w:val="single"/>
          <w:lang w:eastAsia="ru-RU" w:bidi="he-IL"/>
        </w:rPr>
        <w:t>808/2265/16</w:t>
      </w:r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(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провадження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№ 11-1334апп18)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можна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ознайомитися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 xml:space="preserve"> за </w:t>
      </w:r>
      <w:proofErr w:type="spellStart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посиланням</w:t>
      </w:r>
      <w:proofErr w:type="spellEnd"/>
      <w:r w:rsidRPr="006E0BDE">
        <w:rPr>
          <w:rFonts w:ascii="Arial" w:eastAsia="Times New Roman" w:hAnsi="Arial" w:cs="Arial"/>
          <w:color w:val="222222"/>
          <w:sz w:val="24"/>
          <w:szCs w:val="24"/>
          <w:lang w:eastAsia="ru-RU" w:bidi="he-IL"/>
        </w:rPr>
        <w:t> – </w:t>
      </w:r>
      <w:hyperlink r:id="rId20" w:tgtFrame="_blank" w:history="1">
        <w:r w:rsidRPr="006E0BD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 w:bidi="he-IL"/>
          </w:rPr>
          <w:t>http://www.reyestr.court.gov.ua/Review/80112274</w:t>
        </w:r>
      </w:hyperlink>
    </w:p>
    <w:p w:rsidR="00A623FF" w:rsidRPr="006E0BDE" w:rsidRDefault="00A623FF" w:rsidP="006E0BDE">
      <w:pPr>
        <w:jc w:val="both"/>
        <w:rPr>
          <w:lang w:val="en-US"/>
        </w:rPr>
      </w:pPr>
    </w:p>
    <w:sectPr w:rsidR="00A623FF" w:rsidRPr="006E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DE"/>
    <w:rsid w:val="006E0BDE"/>
    <w:rsid w:val="00A6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4B18"/>
  <w15:chartTrackingRefBased/>
  <w15:docId w15:val="{9C691A9F-79ED-4DAF-B24A-21D63BE5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yestr.court.gov.ua/Review/80588414" TargetMode="External"/><Relationship Id="rId13" Type="http://schemas.openxmlformats.org/officeDocument/2006/relationships/hyperlink" Target="http://www.reyestr.court.gov.ua/Review/79958176" TargetMode="External"/><Relationship Id="rId18" Type="http://schemas.openxmlformats.org/officeDocument/2006/relationships/hyperlink" Target="http://www.reyestr.court.gov.ua/Review/8022424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reyestr.court.gov.ua/Review/80555828" TargetMode="External"/><Relationship Id="rId12" Type="http://schemas.openxmlformats.org/officeDocument/2006/relationships/hyperlink" Target="http://reyestr.court.gov.ua/Review/80081035" TargetMode="External"/><Relationship Id="rId17" Type="http://schemas.openxmlformats.org/officeDocument/2006/relationships/hyperlink" Target="http://www.reyestr.court.gov.ua/Review/7500425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yestr.court.gov.ua/Review/74505993" TargetMode="External"/><Relationship Id="rId20" Type="http://schemas.openxmlformats.org/officeDocument/2006/relationships/hyperlink" Target="http://www.reyestr.court.gov.ua/Review/8011227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yestr.court.gov.ua/Review/80555834" TargetMode="External"/><Relationship Id="rId11" Type="http://schemas.openxmlformats.org/officeDocument/2006/relationships/hyperlink" Target="http://www.reyestr.court.gov.ua/Review/80364162" TargetMode="External"/><Relationship Id="rId5" Type="http://schemas.openxmlformats.org/officeDocument/2006/relationships/hyperlink" Target="http://www.reyestr.court.gov.ua/Review/80633777" TargetMode="External"/><Relationship Id="rId15" Type="http://schemas.openxmlformats.org/officeDocument/2006/relationships/hyperlink" Target="http://www.reyestr.court.gov.ua/Review/73657867" TargetMode="External"/><Relationship Id="rId10" Type="http://schemas.openxmlformats.org/officeDocument/2006/relationships/hyperlink" Target="http://www.reyestr.court.gov.ua/Review/80364142" TargetMode="External"/><Relationship Id="rId19" Type="http://schemas.openxmlformats.org/officeDocument/2006/relationships/hyperlink" Target="http://www.reyestr.court.gov.ua/Review/73001394" TargetMode="External"/><Relationship Id="rId4" Type="http://schemas.openxmlformats.org/officeDocument/2006/relationships/hyperlink" Target="http://www.reyestr.court.gov.ua/Review/80633770" TargetMode="External"/><Relationship Id="rId9" Type="http://schemas.openxmlformats.org/officeDocument/2006/relationships/hyperlink" Target="http://www.reyestr.court.gov.ua/Review/80522363" TargetMode="External"/><Relationship Id="rId14" Type="http://schemas.openxmlformats.org/officeDocument/2006/relationships/hyperlink" Target="http://www.reyestr.court.gov.ua/Review/735659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2019-04-01T21:42:00Z</dcterms:created>
  <dcterms:modified xsi:type="dcterms:W3CDTF">2019-04-01T21:43:00Z</dcterms:modified>
</cp:coreProperties>
</file>